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39" w:type="dxa"/>
        <w:tblCellSpacing w:w="0" w:type="dxa"/>
        <w:tblCellMar>
          <w:left w:w="0" w:type="dxa"/>
          <w:right w:w="0" w:type="dxa"/>
        </w:tblCellMar>
        <w:tblLook w:val="04A0" w:firstRow="1" w:lastRow="0" w:firstColumn="1" w:lastColumn="0" w:noHBand="0" w:noVBand="1"/>
      </w:tblPr>
      <w:tblGrid>
        <w:gridCol w:w="567"/>
        <w:gridCol w:w="2378"/>
        <w:gridCol w:w="599"/>
        <w:gridCol w:w="1808"/>
        <w:gridCol w:w="603"/>
        <w:gridCol w:w="2484"/>
      </w:tblGrid>
      <w:tr w:rsidR="00D25BB3" w:rsidRPr="00D25BB3" w:rsidTr="00820796">
        <w:trPr>
          <w:trHeight w:val="369"/>
          <w:tblCellSpacing w:w="0" w:type="dxa"/>
        </w:trPr>
        <w:tc>
          <w:tcPr>
            <w:tcW w:w="336"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信息名称：</w:t>
            </w:r>
          </w:p>
        </w:tc>
        <w:tc>
          <w:tcPr>
            <w:tcW w:w="4664" w:type="pct"/>
            <w:gridSpan w:val="5"/>
            <w:hideMark/>
          </w:tcPr>
          <w:p w:rsidR="00D25BB3" w:rsidRPr="00D25BB3" w:rsidRDefault="00D25BB3" w:rsidP="00820796">
            <w:pPr>
              <w:widowControl/>
              <w:spacing w:line="600" w:lineRule="auto"/>
              <w:jc w:val="center"/>
              <w:rPr>
                <w:rFonts w:ascii="宋体" w:eastAsia="宋体" w:hAnsi="宋体" w:cs="宋体"/>
                <w:b/>
                <w:bCs/>
                <w:color w:val="CC3300"/>
                <w:kern w:val="0"/>
                <w:szCs w:val="21"/>
              </w:rPr>
            </w:pPr>
            <w:r w:rsidRPr="00D25BB3">
              <w:rPr>
                <w:rFonts w:ascii="宋体" w:eastAsia="宋体" w:hAnsi="宋体" w:cs="宋体" w:hint="eastAsia"/>
                <w:b/>
                <w:bCs/>
                <w:color w:val="CC3300"/>
                <w:kern w:val="0"/>
                <w:szCs w:val="21"/>
              </w:rPr>
              <w:t>高等学校预防与处理学术不端行为办法</w:t>
            </w:r>
          </w:p>
        </w:tc>
      </w:tr>
      <w:tr w:rsidR="00B73CB2" w:rsidRPr="00D25BB3" w:rsidTr="008A3203">
        <w:trPr>
          <w:trHeight w:val="369"/>
          <w:tblCellSpacing w:w="0" w:type="dxa"/>
        </w:trPr>
        <w:tc>
          <w:tcPr>
            <w:tcW w:w="336"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信息索引：</w:t>
            </w:r>
          </w:p>
        </w:tc>
        <w:tc>
          <w:tcPr>
            <w:tcW w:w="1409" w:type="pct"/>
            <w:hideMark/>
          </w:tcPr>
          <w:p w:rsidR="00D25BB3" w:rsidRPr="00D25BB3" w:rsidRDefault="00D25BB3" w:rsidP="008A3203">
            <w:pPr>
              <w:widowControl/>
              <w:spacing w:line="600" w:lineRule="auto"/>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360A02-03-2016-0018-1</w:t>
            </w:r>
          </w:p>
        </w:tc>
        <w:tc>
          <w:tcPr>
            <w:tcW w:w="355"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生成日期：</w:t>
            </w:r>
          </w:p>
        </w:tc>
        <w:tc>
          <w:tcPr>
            <w:tcW w:w="1071" w:type="pct"/>
            <w:hideMark/>
          </w:tcPr>
          <w:p w:rsidR="00D25BB3" w:rsidRPr="00D25BB3" w:rsidRDefault="00D25BB3" w:rsidP="008A3203">
            <w:pPr>
              <w:widowControl/>
              <w:spacing w:line="600" w:lineRule="auto"/>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2016-06-16</w:t>
            </w:r>
          </w:p>
        </w:tc>
        <w:tc>
          <w:tcPr>
            <w:tcW w:w="357"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发文机构：</w:t>
            </w:r>
          </w:p>
        </w:tc>
        <w:tc>
          <w:tcPr>
            <w:tcW w:w="1472" w:type="pct"/>
            <w:hideMark/>
          </w:tcPr>
          <w:p w:rsidR="00D25BB3" w:rsidRPr="00D25BB3" w:rsidRDefault="00D25BB3" w:rsidP="008A3203">
            <w:pPr>
              <w:widowControl/>
              <w:spacing w:line="600" w:lineRule="auto"/>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中华人民共和国教育部</w:t>
            </w:r>
          </w:p>
        </w:tc>
      </w:tr>
      <w:tr w:rsidR="00820796" w:rsidRPr="00D25BB3" w:rsidTr="008A3203">
        <w:trPr>
          <w:trHeight w:val="737"/>
          <w:tblCellSpacing w:w="0" w:type="dxa"/>
        </w:trPr>
        <w:tc>
          <w:tcPr>
            <w:tcW w:w="336"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发文字号：</w:t>
            </w:r>
          </w:p>
        </w:tc>
        <w:tc>
          <w:tcPr>
            <w:tcW w:w="1409" w:type="pct"/>
            <w:hideMark/>
          </w:tcPr>
          <w:p w:rsidR="00D25BB3" w:rsidRPr="00D25BB3" w:rsidRDefault="00D25BB3" w:rsidP="00D25BB3">
            <w:pPr>
              <w:widowControl/>
              <w:spacing w:line="375" w:lineRule="atLeast"/>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中华人民共和国教育部令第40号</w:t>
            </w:r>
            <w:bookmarkStart w:id="0" w:name="_GoBack"/>
            <w:bookmarkEnd w:id="0"/>
          </w:p>
        </w:tc>
        <w:tc>
          <w:tcPr>
            <w:tcW w:w="355"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信息类别：</w:t>
            </w:r>
          </w:p>
        </w:tc>
        <w:tc>
          <w:tcPr>
            <w:tcW w:w="2900" w:type="pct"/>
            <w:gridSpan w:val="3"/>
            <w:hideMark/>
          </w:tcPr>
          <w:p w:rsidR="00D25BB3" w:rsidRPr="00D25BB3" w:rsidRDefault="00D25BB3" w:rsidP="00A87385">
            <w:pPr>
              <w:widowControl/>
              <w:spacing w:line="600" w:lineRule="auto"/>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部门规章</w:t>
            </w:r>
          </w:p>
        </w:tc>
      </w:tr>
      <w:tr w:rsidR="00D25BB3" w:rsidRPr="00D25BB3" w:rsidTr="00820796">
        <w:trPr>
          <w:trHeight w:val="369"/>
          <w:tblCellSpacing w:w="0" w:type="dxa"/>
        </w:trPr>
        <w:tc>
          <w:tcPr>
            <w:tcW w:w="336" w:type="pct"/>
            <w:hideMark/>
          </w:tcPr>
          <w:p w:rsidR="00D25BB3" w:rsidRPr="00D25BB3" w:rsidRDefault="00D25BB3" w:rsidP="00D25BB3">
            <w:pPr>
              <w:widowControl/>
              <w:spacing w:line="375" w:lineRule="atLeast"/>
              <w:jc w:val="left"/>
              <w:rPr>
                <w:rFonts w:ascii="宋体" w:eastAsia="宋体" w:hAnsi="宋体" w:cs="宋体"/>
                <w:b/>
                <w:bCs/>
                <w:color w:val="4B4B4B"/>
                <w:kern w:val="0"/>
                <w:szCs w:val="21"/>
              </w:rPr>
            </w:pPr>
            <w:r w:rsidRPr="00D25BB3">
              <w:rPr>
                <w:rFonts w:ascii="宋体" w:eastAsia="宋体" w:hAnsi="宋体" w:cs="宋体" w:hint="eastAsia"/>
                <w:b/>
                <w:bCs/>
                <w:color w:val="4B4B4B"/>
                <w:kern w:val="0"/>
                <w:szCs w:val="21"/>
              </w:rPr>
              <w:t>内容概述：</w:t>
            </w:r>
          </w:p>
        </w:tc>
        <w:tc>
          <w:tcPr>
            <w:tcW w:w="4664" w:type="pct"/>
            <w:gridSpan w:val="5"/>
            <w:hideMark/>
          </w:tcPr>
          <w:p w:rsidR="00D25BB3" w:rsidRPr="00D25BB3" w:rsidRDefault="00D25BB3" w:rsidP="00D25BB3">
            <w:pPr>
              <w:widowControl/>
              <w:spacing w:line="375" w:lineRule="atLeast"/>
              <w:jc w:val="left"/>
              <w:rPr>
                <w:rFonts w:ascii="宋体" w:eastAsia="宋体" w:hAnsi="宋体" w:cs="宋体"/>
                <w:color w:val="4B4B4B"/>
                <w:kern w:val="0"/>
                <w:szCs w:val="21"/>
              </w:rPr>
            </w:pPr>
            <w:r w:rsidRPr="00D25BB3">
              <w:rPr>
                <w:rFonts w:ascii="宋体" w:eastAsia="宋体" w:hAnsi="宋体" w:cs="宋体" w:hint="eastAsia"/>
                <w:color w:val="4B4B4B"/>
                <w:kern w:val="0"/>
                <w:szCs w:val="21"/>
              </w:rPr>
              <w:t>《高等学校预防与处理学术不端行为办法》经教育部2016年第14次部长办公会议审议通过，自2016年9月1日起施行。</w:t>
            </w:r>
          </w:p>
        </w:tc>
      </w:tr>
    </w:tbl>
    <w:p w:rsidR="00D25BB3" w:rsidRPr="00D25BB3" w:rsidRDefault="00D25BB3" w:rsidP="00D25BB3">
      <w:pPr>
        <w:widowControl/>
        <w:shd w:val="clear" w:color="auto" w:fill="FFFFFF"/>
        <w:jc w:val="left"/>
        <w:rPr>
          <w:rFonts w:ascii="宋体" w:eastAsia="宋体" w:hAnsi="宋体" w:cs="宋体"/>
          <w:vanish/>
          <w:kern w:val="0"/>
          <w:sz w:val="24"/>
          <w:szCs w:val="24"/>
        </w:rPr>
      </w:pPr>
      <w:r w:rsidRPr="00D25BB3">
        <w:rPr>
          <w:rFonts w:ascii="宋体" w:eastAsia="宋体" w:hAnsi="宋体" w:cs="宋体"/>
          <w:vanish/>
          <w:kern w:val="0"/>
          <w:sz w:val="24"/>
          <w:szCs w:val="24"/>
        </w:rPr>
        <w:t>信息公开_部令</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D25BB3">
        <w:rPr>
          <w:rFonts w:ascii="微软雅黑" w:eastAsia="微软雅黑" w:hAnsi="微软雅黑" w:cs="宋体" w:hint="eastAsia"/>
          <w:b/>
          <w:bCs/>
          <w:vanish/>
          <w:color w:val="4B4B4B"/>
          <w:kern w:val="0"/>
          <w:sz w:val="24"/>
          <w:szCs w:val="24"/>
        </w:rPr>
        <w:t>中华人民共和国教育部令第40号</w:t>
      </w:r>
    </w:p>
    <w:p w:rsidR="00D25BB3" w:rsidRPr="00D25BB3" w:rsidRDefault="00D25BB3" w:rsidP="00D25BB3">
      <w:pPr>
        <w:widowControl/>
        <w:shd w:val="clear" w:color="auto" w:fill="FFFFFF"/>
        <w:spacing w:before="100" w:beforeAutospacing="1" w:after="100" w:afterAutospacing="1"/>
        <w:jc w:val="center"/>
        <w:outlineLvl w:val="1"/>
        <w:rPr>
          <w:rFonts w:ascii="微软雅黑" w:eastAsia="微软雅黑" w:hAnsi="微软雅黑" w:cs="宋体" w:hint="eastAsia"/>
          <w:b/>
          <w:bCs/>
          <w:vanish/>
          <w:color w:val="4B4B4B"/>
          <w:kern w:val="36"/>
          <w:sz w:val="30"/>
          <w:szCs w:val="30"/>
        </w:rPr>
      </w:pPr>
      <w:r w:rsidRPr="00D25BB3">
        <w:rPr>
          <w:rFonts w:ascii="微软雅黑" w:eastAsia="微软雅黑" w:hAnsi="微软雅黑" w:cs="宋体" w:hint="eastAsia"/>
          <w:b/>
          <w:bCs/>
          <w:vanish/>
          <w:color w:val="4B4B4B"/>
          <w:kern w:val="36"/>
          <w:sz w:val="30"/>
          <w:szCs w:val="30"/>
        </w:rPr>
        <w:t>高等学校预防与处理学术不端行为办法</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D25BB3">
        <w:rPr>
          <w:rFonts w:ascii="微软雅黑" w:eastAsia="微软雅黑" w:hAnsi="微软雅黑" w:cs="宋体" w:hint="eastAsia"/>
          <w:b/>
          <w:bCs/>
          <w:color w:val="4B4B4B"/>
          <w:kern w:val="0"/>
          <w:sz w:val="24"/>
          <w:szCs w:val="24"/>
        </w:rPr>
        <w:t>中华人民共和国教育部令第40号</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《高等学校预防与处理学术不端行为办法》已于2016年4月5日经教育部2016年第14次部长办公会议审议通过，现予发布，自2016年9月1日起施行。</w:t>
      </w:r>
    </w:p>
    <w:p w:rsidR="00D25BB3" w:rsidRPr="00D25BB3" w:rsidRDefault="00D25BB3" w:rsidP="00D25BB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教育部部长 袁贵仁</w:t>
      </w:r>
    </w:p>
    <w:p w:rsidR="00D25BB3" w:rsidRPr="00D25BB3" w:rsidRDefault="00D25BB3" w:rsidP="00D25BB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2016年6月16日</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高等学校预防与处理学术不端行为办法</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b/>
          <w:bCs/>
          <w:color w:val="4B4B4B"/>
          <w:kern w:val="0"/>
          <w:sz w:val="24"/>
          <w:szCs w:val="24"/>
        </w:rPr>
        <w:t xml:space="preserve">　　第一章　总则</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第二条　本办法所称学术不端行为是指高等学校及其教学科研人员、管理人员和学生，在科学研究及相关活动中发生的违反公认的学术准则、违背学术诚信的行为。</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第三条　高等学校预防与处理学术不端行为应坚持预防为主、教育与惩戒结合的原则。</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高等学校应当充分发挥学术委员会在学风建设方面的作用，支持和保障学术委员会依法履行职责，调查、认定学术不端行为。</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第二章　教育与预防</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第六条　高等学校应当完善学术治理体系，建立科学公正的学术评价和学术发展制度，营造鼓励创新、宽容失败、不骄不躁、风清气正的学术环境。</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高等学校教学科研人员、管理人员、学生在科研活动中应当遵循实事求是的科学精神和严谨认真的治学态度，恪守学术诚信，遵循学术准则，尊重和保护他人知识产权等合法权益。</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第七条　高等学校应当将学术规范和学术诚信教育，作为教师培训和学生教育的必要内容，以多种形式开展教育、培训。</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第八条　高等学校应当利用信息技术等手段，建立对学术成果、学位论文所涉及内容的知识产权查询制度，健全学术规范监督机制。</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第九条　高等学校应当建立健全科研管理制度，在合理期限内保存研究的原始数据和资料，保证科研档案和数据的真实性、完整性。</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高等学校应当完善科研项目评审、学术成果鉴定程序，结合学科特点，对非涉密的科研项目申报材料、学术成果的基本信息以适当方式进行公开。</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第十条　高等学校应当遵循学术研究规律，建立科学的学术水平考核评价标准、办法，引导教学科研人员和学生潜心研究，形成具有创新性、独创性的研究成果。</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第十一条　高等学校应当建立教学科研人员学术诚信记录，在年度考核、职称评定、岗位聘用、课题立项、人才计划、评优奖励中强化学术诚信考核。</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w:t>
      </w:r>
      <w:r w:rsidRPr="00D25BB3">
        <w:rPr>
          <w:rFonts w:ascii="微软雅黑" w:eastAsia="微软雅黑" w:hAnsi="微软雅黑" w:cs="宋体" w:hint="eastAsia"/>
          <w:b/>
          <w:bCs/>
          <w:color w:val="4B4B4B"/>
          <w:kern w:val="0"/>
          <w:sz w:val="24"/>
          <w:szCs w:val="24"/>
        </w:rPr>
        <w:t>第三章　受理与调查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第十三条　对学术不端行为的举报，一般应当以书面方式实名提出，并符合下列条件：</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（一）有明确的举报对象；</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（二）有实施学术不端行为的事实；</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（三）有客观的证据材料或者查证线索。</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以匿名方式举报，但事实清楚、证据充分或者线索明确的，高等学校应当视情况予以受理。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第十四条　高等学校对媒体公开报道、其他学术机构或者社会组织主动披露的涉及本校人员的学术不端行为，应当依据职权，主动进行调查处理。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第十五条　高等学校受理机构认为举报材料符合条件的，应当及时</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受理决定，并通知举报人。不予受理的，应当书面说明理由。</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第十六条　学术不端行为举报受理后，应当交由学校学术委员会按照相关程序组织开展调查。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学术委员会可委托有关专家就举报内容的合理性、调查的可能性等进行初步审查，并</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是否进入正式调查的决定。</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决定不进入正式调查的，应当告知举报人。举报人如有新的证据，可以提出异议。异议成立的，应当进入正式调查。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第十七条　高等学校学术委员会决定进入正式调查的，应当通知被举报人。</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被调查行为涉及资助项目的，可以同时通知项目资助方。</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调查组应当不少于３人，必要时应当包括学校纪检、监察机构指派的工作人员，可以邀请同行专家参与调查或者以咨询等方式提供学术判断。</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被调查行为涉及资助项目的，可以邀请项目资助方委派相关专业人员参与调查组。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第十九条　调查组的组成人员与举报人或者被举报人有合作研究、亲属或者导师学生等直接利害关系的，应当回避。</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D25BB3">
        <w:rPr>
          <w:rFonts w:ascii="微软雅黑" w:eastAsia="微软雅黑" w:hAnsi="微软雅黑" w:cs="宋体" w:hint="eastAsia"/>
          <w:color w:val="4B4B4B"/>
          <w:kern w:val="0"/>
          <w:sz w:val="24"/>
          <w:szCs w:val="24"/>
        </w:rPr>
        <w:t>方专业</w:t>
      </w:r>
      <w:proofErr w:type="gramEnd"/>
      <w:r w:rsidRPr="00D25BB3">
        <w:rPr>
          <w:rFonts w:ascii="微软雅黑" w:eastAsia="微软雅黑" w:hAnsi="微软雅黑" w:cs="宋体" w:hint="eastAsia"/>
          <w:color w:val="4B4B4B"/>
          <w:kern w:val="0"/>
          <w:sz w:val="24"/>
          <w:szCs w:val="24"/>
        </w:rPr>
        <w:t>机构就有关事项进行独立调查或者验证。</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第二十一条　调查组在调查过程中，应当认真听取被举报人的陈述、申辩，对有关事实、理由和证据进行核实；认为必要的，可以采取听证方式。</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第二十二条　有关单位和个人应当为调查组开展工作提供必要的便利和协助。</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举报人、被举报人、证人及其他有关人员应当如实回答询问，配合调查，提供相关证据材料，不得隐瞒或者提供虚假信息。</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第二十三条　调查过程中，出现知识产权等争议引发的法律纠纷的，且该争议可能影响行为定性的，应当中止调查，待争议解决后重启调查。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第二十四条　调查组应当在查清事实的基础上形成调查报告。调查报告应当包括学术不端行为责任人的确认、调查过程、事实认定及理由、调查结论等。</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学术不端行为由多人集体做出的，调查报告中应当区别各责任人在行为中所发挥的作用。</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第二十五条　接触举报材料和参与调查处理的人员，不得向无关人员透露举报人、被举报人个人信息及调查情况。</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第四章　认定</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第二十六条　高等学校学术委员会应当对调查组提交的调查报告进行审查；必要的，应当听取调查组的汇报。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学术委员会可以召开全体会议或者授权专门委员会对被调查行为是否构成学术不端行为以及行为的性质、情节等</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认定结论，并依职权</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处理或建议学校</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相应处理。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第二十七条　经调查，确认被举报人在科学研究及相关活动中有下列行为之一的，应当认定为构成学术不端行为：</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（一）剽窃、抄袭、侵占他人学术成果；</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（二）篡改他人研究成果；</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（三）伪造科研数据、资料、文献、注释，或者捏造事实、编造虚假研究成果；</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（五）在申报课题、成果、奖励和职务评审评定、申请学位等过程中提供虚假学术信息；</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（六）买卖论文、由他人代写或者为他人代写论文；</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（七）其他根据高等学校或者有关学术组织、相关科研管理机构制定的规则，属于学术不端的行为。</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第二十八条　有学术不端行为且有下列情形之一的，应当认定为情节严重：</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（一）造成恶劣影响的；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（二）存在利益输送或者利益交换的；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（三）对举报人进行打击报复的；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（四）有组织实施学术不端行为的；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（五）多次实施学术不端行为的；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（六）其他造成严重后果或者恶劣影响的。</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第五章　处理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第二十九条　高等学校应当根据学术委员会的认定结论和处理建议，结合行为性质和情节轻重，依职权和规定程序对学术不端行为责任人</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如下处理：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（一）通报批评；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（二）终止或者撤销相关的科研项目，并在一定期限内取消申请资格；</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（三）撤销学术奖励或者荣誉称号；</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（四）辞退或解聘；</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（五）法律、法规及规章规定的其他处理措施。</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同时，可以依照有关规定，给予警告、记过、降低岗位等级或者撤职、开除等处分。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学术不端行为责任人获得有关部门、机构设立的科研项目、学术奖励或者荣誉称号等利益的，学校应当同时向有关主管部门提出处理建议。</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学生有学术不端行为的，还应当按照学生管理的相关规定，给予相应的学籍处分。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学术不端行为与获得学位有直接关联的，由学位授予单位作暂缓授予学位、不授予学位或者依法撤销学位等处理。</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第三十条　高等学校对学术不端行为</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处理决定，应当制作处理决定书，载明以下内容：</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（一）责任人的基本情况；</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（二）经查证的学术不端行为事实；</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（三）处理意见和依据；</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（四）救济途径和期限；</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（五）其他必要内容。</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第三十一条　经调查认定，不构成学术不端行为的，根据被举报人申请，高等学校应当通过一定方式为其消除影响、恢复名誉等。</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调查处理过程中，发现举报人存在捏造事实、诬告陷害等行为的，应当认定为举报不实或者虚假举报，举报人应当承担相应责任。属于本单位人员的，高等</w:t>
      </w:r>
      <w:r w:rsidRPr="00D25BB3">
        <w:rPr>
          <w:rFonts w:ascii="微软雅黑" w:eastAsia="微软雅黑" w:hAnsi="微软雅黑" w:cs="宋体" w:hint="eastAsia"/>
          <w:color w:val="4B4B4B"/>
          <w:kern w:val="0"/>
          <w:sz w:val="24"/>
          <w:szCs w:val="24"/>
        </w:rPr>
        <w:lastRenderedPageBreak/>
        <w:t>学校应当按照有关规定给</w:t>
      </w:r>
      <w:proofErr w:type="gramStart"/>
      <w:r w:rsidRPr="00D25BB3">
        <w:rPr>
          <w:rFonts w:ascii="微软雅黑" w:eastAsia="微软雅黑" w:hAnsi="微软雅黑" w:cs="宋体" w:hint="eastAsia"/>
          <w:color w:val="4B4B4B"/>
          <w:kern w:val="0"/>
          <w:sz w:val="24"/>
          <w:szCs w:val="24"/>
        </w:rPr>
        <w:t>予处理</w:t>
      </w:r>
      <w:proofErr w:type="gramEnd"/>
      <w:r w:rsidRPr="00D25BB3">
        <w:rPr>
          <w:rFonts w:ascii="微软雅黑" w:eastAsia="微软雅黑" w:hAnsi="微软雅黑" w:cs="宋体" w:hint="eastAsia"/>
          <w:color w:val="4B4B4B"/>
          <w:kern w:val="0"/>
          <w:sz w:val="24"/>
          <w:szCs w:val="24"/>
        </w:rPr>
        <w:t>；不属于本单位人员的，应通报其所在单位，并提出处理建议。</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第三十二条　参与举报受理、调查和处理的人员违反保密等规定，造成不良影响的，按照有关规定给予处分或其他处理。</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第六章　复核</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第三十三条　举报人或者学术不端行为责任人对处理决定不服的，可以在收到处理决定之日起30日内，以书面形式向高等学校提出异议或者复核申请。</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异议和复核不影响处理决定的执行。</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第三十四条　高等学校收到异议或者复核申请后，应当交由学术委员会组织讨论，并于15日内</w:t>
      </w:r>
      <w:proofErr w:type="gramStart"/>
      <w:r w:rsidRPr="00D25BB3">
        <w:rPr>
          <w:rFonts w:ascii="微软雅黑" w:eastAsia="微软雅黑" w:hAnsi="微软雅黑" w:cs="宋体" w:hint="eastAsia"/>
          <w:color w:val="4B4B4B"/>
          <w:kern w:val="0"/>
          <w:sz w:val="24"/>
          <w:szCs w:val="24"/>
        </w:rPr>
        <w:t>作出</w:t>
      </w:r>
      <w:proofErr w:type="gramEnd"/>
      <w:r w:rsidRPr="00D25BB3">
        <w:rPr>
          <w:rFonts w:ascii="微软雅黑" w:eastAsia="微软雅黑" w:hAnsi="微软雅黑" w:cs="宋体" w:hint="eastAsia"/>
          <w:color w:val="4B4B4B"/>
          <w:kern w:val="0"/>
          <w:sz w:val="24"/>
          <w:szCs w:val="24"/>
        </w:rPr>
        <w:t>是否受理的决定。</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决定受理的，学校或者学术委员会可以另行组织调查组或者委托第三方机构进行调查；决定不予受理的，应当书面通知当事人。</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第三十五条　当事人对复核决定不服，仍以同一事实和理由提出异议或者申请复核的，不予受理；向有关主管部门提出申诉的，按照相关规定执行。</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第七章　监督</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第三十六条　高等学校应当按年度发布学风建设工作报告，并向社会公开，接受社会监督。</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第三十七条　高等学校处理学术不端行为推诿塞责、隐瞒包庇、查处不力的，主管部门可以直接组织或者委托相关机构查处。</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第三十八条　高等学校对本校发生的学术不端行为，未能及时查处并做出公正结论，造成恶劣影响的，主管部门应当追究相关领导的责任，并进行通报。</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rsidR="00D25BB3" w:rsidRPr="00D25BB3" w:rsidRDefault="00D25BB3" w:rsidP="00D25BB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w:t>
      </w:r>
      <w:r w:rsidRPr="00D25BB3">
        <w:rPr>
          <w:rFonts w:ascii="微软雅黑" w:eastAsia="微软雅黑" w:hAnsi="微软雅黑" w:cs="宋体" w:hint="eastAsia"/>
          <w:b/>
          <w:bCs/>
          <w:color w:val="4B4B4B"/>
          <w:kern w:val="0"/>
          <w:sz w:val="24"/>
          <w:szCs w:val="24"/>
        </w:rPr>
        <w:t>第八章　附则</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教育系统所属科研机构及其他单位有关人员学术不端行为的调查与处理，可参照本办法执行。</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t xml:space="preserve">　　第四十一条　本办法自2016年9月1日起施行。</w:t>
      </w:r>
    </w:p>
    <w:p w:rsidR="00D25BB3" w:rsidRPr="00D25BB3" w:rsidRDefault="00D25BB3" w:rsidP="00D25BB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25BB3">
        <w:rPr>
          <w:rFonts w:ascii="微软雅黑" w:eastAsia="微软雅黑" w:hAnsi="微软雅黑" w:cs="宋体" w:hint="eastAsia"/>
          <w:color w:val="4B4B4B"/>
          <w:kern w:val="0"/>
          <w:sz w:val="24"/>
          <w:szCs w:val="24"/>
        </w:rPr>
        <w:lastRenderedPageBreak/>
        <w:t xml:space="preserve">　　教育部此前发布的有关规章、文件中的相关规定与本办法不一致的，以本办法为准。</w:t>
      </w:r>
    </w:p>
    <w:p w:rsidR="009F1396" w:rsidRPr="00D25BB3" w:rsidRDefault="00A87385"/>
    <w:sectPr w:rsidR="009F1396" w:rsidRPr="00D2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F0"/>
    <w:rsid w:val="003361EE"/>
    <w:rsid w:val="003A77E1"/>
    <w:rsid w:val="005C4FF0"/>
    <w:rsid w:val="00637101"/>
    <w:rsid w:val="00820796"/>
    <w:rsid w:val="008A3203"/>
    <w:rsid w:val="00A87385"/>
    <w:rsid w:val="00B53FAB"/>
    <w:rsid w:val="00B73CB2"/>
    <w:rsid w:val="00D2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5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5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8650">
      <w:bodyDiv w:val="1"/>
      <w:marLeft w:val="0"/>
      <w:marRight w:val="0"/>
      <w:marTop w:val="0"/>
      <w:marBottom w:val="0"/>
      <w:divBdr>
        <w:top w:val="none" w:sz="0" w:space="0" w:color="auto"/>
        <w:left w:val="none" w:sz="0" w:space="0" w:color="auto"/>
        <w:bottom w:val="none" w:sz="0" w:space="0" w:color="auto"/>
        <w:right w:val="none" w:sz="0" w:space="0" w:color="auto"/>
      </w:divBdr>
      <w:divsChild>
        <w:div w:id="1055003598">
          <w:marLeft w:val="0"/>
          <w:marRight w:val="0"/>
          <w:marTop w:val="0"/>
          <w:marBottom w:val="0"/>
          <w:divBdr>
            <w:top w:val="none" w:sz="0" w:space="0" w:color="auto"/>
            <w:left w:val="none" w:sz="0" w:space="0" w:color="auto"/>
            <w:bottom w:val="none" w:sz="0" w:space="0" w:color="auto"/>
            <w:right w:val="none" w:sz="0" w:space="0" w:color="auto"/>
          </w:divBdr>
          <w:divsChild>
            <w:div w:id="558899788">
              <w:marLeft w:val="0"/>
              <w:marRight w:val="0"/>
              <w:marTop w:val="0"/>
              <w:marBottom w:val="0"/>
              <w:divBdr>
                <w:top w:val="single" w:sz="6" w:space="31" w:color="BCBCBC"/>
                <w:left w:val="single" w:sz="6" w:space="31" w:color="BCBCBC"/>
                <w:bottom w:val="single" w:sz="6" w:space="15" w:color="BCBCBC"/>
                <w:right w:val="single" w:sz="6" w:space="31" w:color="BCBCBC"/>
              </w:divBdr>
              <w:divsChild>
                <w:div w:id="18049392">
                  <w:marLeft w:val="0"/>
                  <w:marRight w:val="0"/>
                  <w:marTop w:val="0"/>
                  <w:marBottom w:val="0"/>
                  <w:divBdr>
                    <w:top w:val="none" w:sz="0" w:space="0" w:color="auto"/>
                    <w:left w:val="none" w:sz="0" w:space="0" w:color="auto"/>
                    <w:bottom w:val="none" w:sz="0" w:space="0" w:color="auto"/>
                    <w:right w:val="none" w:sz="0" w:space="0" w:color="auto"/>
                  </w:divBdr>
                  <w:divsChild>
                    <w:div w:id="1424689635">
                      <w:marLeft w:val="0"/>
                      <w:marRight w:val="0"/>
                      <w:marTop w:val="0"/>
                      <w:marBottom w:val="0"/>
                      <w:divBdr>
                        <w:top w:val="none" w:sz="0" w:space="0" w:color="auto"/>
                        <w:left w:val="none" w:sz="0" w:space="0" w:color="auto"/>
                        <w:bottom w:val="none" w:sz="0" w:space="0" w:color="auto"/>
                        <w:right w:val="none" w:sz="0" w:space="0" w:color="auto"/>
                      </w:divBdr>
                    </w:div>
                    <w:div w:id="1423337626">
                      <w:marLeft w:val="0"/>
                      <w:marRight w:val="0"/>
                      <w:marTop w:val="450"/>
                      <w:marBottom w:val="0"/>
                      <w:divBdr>
                        <w:top w:val="none" w:sz="0" w:space="0" w:color="auto"/>
                        <w:left w:val="none" w:sz="0" w:space="0" w:color="auto"/>
                        <w:bottom w:val="none" w:sz="0" w:space="0" w:color="auto"/>
                        <w:right w:val="none" w:sz="0" w:space="0" w:color="auto"/>
                      </w:divBdr>
                    </w:div>
                    <w:div w:id="1689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748</Words>
  <Characters>4270</Characters>
  <Application>Microsoft Office Word</Application>
  <DocSecurity>0</DocSecurity>
  <Lines>35</Lines>
  <Paragraphs>10</Paragraphs>
  <ScaleCrop>false</ScaleCrop>
  <Company>WIN</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11</cp:revision>
  <dcterms:created xsi:type="dcterms:W3CDTF">2017-11-08T02:04:00Z</dcterms:created>
  <dcterms:modified xsi:type="dcterms:W3CDTF">2017-11-08T02:07:00Z</dcterms:modified>
</cp:coreProperties>
</file>